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6E" w:rsidRPr="001F608D" w:rsidRDefault="0056416E" w:rsidP="001F608D">
      <w:pPr>
        <w:jc w:val="center"/>
        <w:rPr>
          <w:rFonts w:ascii="Helvetica" w:hAnsi="Helvetica" w:cs="Helvetica"/>
          <w:b/>
          <w:color w:val="686868"/>
          <w:sz w:val="34"/>
          <w:szCs w:val="34"/>
          <w:u w:val="single"/>
          <w:shd w:val="clear" w:color="auto" w:fill="FFFFFF"/>
        </w:rPr>
      </w:pPr>
      <w:r w:rsidRPr="001F608D">
        <w:rPr>
          <w:rFonts w:ascii="Helvetica" w:hAnsi="Helvetica" w:cs="Helvetica"/>
          <w:b/>
          <w:color w:val="686868"/>
          <w:sz w:val="34"/>
          <w:szCs w:val="34"/>
          <w:u w:val="single"/>
          <w:shd w:val="clear" w:color="auto" w:fill="FFFFFF"/>
        </w:rPr>
        <w:t>Prop 65 Changes to Labeling Effective August 30, 2018</w:t>
      </w:r>
    </w:p>
    <w:p w:rsidR="0056416E" w:rsidRDefault="0056416E">
      <w:pPr>
        <w:rPr>
          <w:rFonts w:ascii="Helvetica" w:hAnsi="Helvetica" w:cs="Helvetica"/>
          <w:color w:val="686868"/>
          <w:shd w:val="clear" w:color="auto" w:fill="FFFFFF"/>
        </w:rPr>
      </w:pPr>
    </w:p>
    <w:p w:rsidR="001F608D" w:rsidRPr="001F608D" w:rsidRDefault="001F608D">
      <w:pPr>
        <w:rPr>
          <w:rFonts w:ascii="Helvetica" w:hAnsi="Helvetica" w:cs="Helvetica"/>
          <w:color w:val="686868"/>
          <w:sz w:val="32"/>
          <w:szCs w:val="32"/>
          <w:u w:val="single"/>
          <w:shd w:val="clear" w:color="auto" w:fill="FFFFFF"/>
        </w:rPr>
      </w:pPr>
      <w:r w:rsidRPr="001F608D">
        <w:rPr>
          <w:rFonts w:ascii="Helvetica" w:hAnsi="Helvetica" w:cs="Helvetica"/>
          <w:color w:val="686868"/>
          <w:sz w:val="32"/>
          <w:szCs w:val="32"/>
          <w:shd w:val="clear" w:color="auto" w:fill="FFFFFF"/>
        </w:rPr>
        <w:t xml:space="preserve">All </w:t>
      </w:r>
      <w:r w:rsidRPr="001F608D">
        <w:rPr>
          <w:rFonts w:ascii="Helvetica" w:hAnsi="Helvetica" w:cs="Helvetica"/>
          <w:color w:val="686868"/>
          <w:sz w:val="32"/>
          <w:szCs w:val="32"/>
          <w:u w:val="single"/>
          <w:shd w:val="clear" w:color="auto" w:fill="FFFFFF"/>
        </w:rPr>
        <w:t>re-sellers</w:t>
      </w:r>
      <w:r w:rsidRPr="001F608D">
        <w:rPr>
          <w:rFonts w:ascii="Helvetica" w:hAnsi="Helvetica" w:cs="Helvetica"/>
          <w:color w:val="686868"/>
          <w:sz w:val="32"/>
          <w:szCs w:val="32"/>
          <w:shd w:val="clear" w:color="auto" w:fill="FFFFFF"/>
        </w:rPr>
        <w:t xml:space="preserve"> of Simmons 800SB Series yard hydrants and 850SB repair kits must display t</w:t>
      </w:r>
      <w:r w:rsidR="00634243">
        <w:rPr>
          <w:rFonts w:ascii="Helvetica" w:hAnsi="Helvetica" w:cs="Helvetica"/>
          <w:color w:val="686868"/>
          <w:sz w:val="32"/>
          <w:szCs w:val="32"/>
          <w:shd w:val="clear" w:color="auto" w:fill="FFFFFF"/>
        </w:rPr>
        <w:t>he below warning on all printed advertising</w:t>
      </w:r>
      <w:r w:rsidRPr="001F608D">
        <w:rPr>
          <w:rFonts w:ascii="Helvetica" w:hAnsi="Helvetica" w:cs="Helvetica"/>
          <w:color w:val="686868"/>
          <w:sz w:val="32"/>
          <w:szCs w:val="32"/>
          <w:shd w:val="clear" w:color="auto" w:fill="FFFFFF"/>
        </w:rPr>
        <w:t xml:space="preserve"> and internet sites. </w:t>
      </w:r>
    </w:p>
    <w:p w:rsidR="001F608D" w:rsidRDefault="001F608D" w:rsidP="001F608D">
      <w:pPr>
        <w:jc w:val="center"/>
        <w:rPr>
          <w:rFonts w:ascii="Helvetica" w:hAnsi="Helvetica" w:cs="Helvetica"/>
          <w:color w:val="686868"/>
          <w:shd w:val="clear" w:color="auto" w:fill="FFFFFF"/>
        </w:rPr>
      </w:pPr>
      <w:r w:rsidRPr="0056416E">
        <w:rPr>
          <w:rFonts w:ascii="Helvetica" w:eastAsia="Times New Roman" w:hAnsi="Helvetica" w:cs="Helvetica"/>
          <w:noProof/>
          <w:color w:val="686868"/>
          <w:sz w:val="21"/>
          <w:szCs w:val="21"/>
        </w:rPr>
        <w:drawing>
          <wp:inline distT="0" distB="0" distL="0" distR="0" wp14:anchorId="7B85C1AF" wp14:editId="556441CC">
            <wp:extent cx="3286125" cy="1943100"/>
            <wp:effectExtent l="0" t="0" r="9525" b="0"/>
            <wp:docPr id="1" name="Picture 1" descr="C:\Users\Robert III\Desktop\Logo\New Prop 65 Warning La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 III\Desktop\Logo\New Prop 65 Warning Lab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6125" cy="1943100"/>
                    </a:xfrm>
                    <a:prstGeom prst="rect">
                      <a:avLst/>
                    </a:prstGeom>
                    <a:noFill/>
                    <a:ln>
                      <a:noFill/>
                    </a:ln>
                  </pic:spPr>
                </pic:pic>
              </a:graphicData>
            </a:graphic>
          </wp:inline>
        </w:drawing>
      </w:r>
      <w:bookmarkStart w:id="0" w:name="_GoBack"/>
      <w:bookmarkEnd w:id="0"/>
    </w:p>
    <w:p w:rsidR="00712AE1" w:rsidRPr="001F608D" w:rsidRDefault="0056416E">
      <w:pPr>
        <w:rPr>
          <w:rFonts w:ascii="Helvetica" w:hAnsi="Helvetica" w:cs="Helvetica"/>
          <w:color w:val="686868"/>
          <w:sz w:val="32"/>
          <w:szCs w:val="32"/>
          <w:shd w:val="clear" w:color="auto" w:fill="FFFFFF"/>
        </w:rPr>
      </w:pPr>
      <w:r w:rsidRPr="001F608D">
        <w:rPr>
          <w:rFonts w:ascii="Helvetica" w:hAnsi="Helvetica" w:cs="Helvetica"/>
          <w:color w:val="686868"/>
          <w:sz w:val="32"/>
          <w:szCs w:val="32"/>
          <w:shd w:val="clear" w:color="auto" w:fill="FFFFFF"/>
        </w:rPr>
        <w:t>The Safe Drinking Water and Toxic Enforcement Act of 1986, better known as Proposition 65, requires businesses operating in the state of California to provide adequate warnings about exposure to, or the discharge of, chemicals that cause cancer or reproductive toxicity.</w:t>
      </w:r>
    </w:p>
    <w:p w:rsidR="0056416E" w:rsidRPr="0056416E" w:rsidRDefault="0056416E" w:rsidP="0056416E">
      <w:pPr>
        <w:spacing w:after="0" w:line="240" w:lineRule="auto"/>
        <w:textAlignment w:val="baseline"/>
        <w:rPr>
          <w:rFonts w:ascii="Helvetica" w:eastAsia="Times New Roman" w:hAnsi="Helvetica" w:cs="Helvetica"/>
          <w:color w:val="686868"/>
          <w:sz w:val="32"/>
          <w:szCs w:val="32"/>
        </w:rPr>
      </w:pPr>
      <w:r w:rsidRPr="001F608D">
        <w:rPr>
          <w:rFonts w:ascii="Helvetica" w:eastAsia="Times New Roman" w:hAnsi="Helvetica" w:cs="Helvetica"/>
          <w:color w:val="686868"/>
          <w:sz w:val="32"/>
          <w:szCs w:val="32"/>
          <w:bdr w:val="none" w:sz="0" w:space="0" w:color="auto" w:frame="1"/>
        </w:rPr>
        <w:t>The changes to Proposition 65 on August 30, 2016:</w:t>
      </w:r>
    </w:p>
    <w:p w:rsidR="0056416E" w:rsidRPr="001F608D" w:rsidRDefault="0056416E" w:rsidP="0056416E">
      <w:pPr>
        <w:pStyle w:val="ListParagraph"/>
        <w:numPr>
          <w:ilvl w:val="0"/>
          <w:numId w:val="2"/>
        </w:numPr>
        <w:spacing w:after="0" w:line="390" w:lineRule="atLeast"/>
        <w:textAlignment w:val="baseline"/>
        <w:rPr>
          <w:rFonts w:ascii="Helvetica" w:eastAsia="Times New Roman" w:hAnsi="Helvetica" w:cs="Helvetica"/>
          <w:color w:val="686868"/>
          <w:sz w:val="32"/>
          <w:szCs w:val="32"/>
        </w:rPr>
      </w:pPr>
      <w:r w:rsidRPr="001F608D">
        <w:rPr>
          <w:rFonts w:ascii="Helvetica" w:eastAsia="Times New Roman" w:hAnsi="Helvetica" w:cs="Helvetica"/>
          <w:color w:val="686868"/>
          <w:sz w:val="32"/>
          <w:szCs w:val="32"/>
          <w:bdr w:val="none" w:sz="0" w:space="0" w:color="auto" w:frame="1"/>
        </w:rPr>
        <w:t>New labeling requirements that will include specific information about the prop 65 chemical(s) and the potential harm from exposure to that chemical.</w:t>
      </w:r>
    </w:p>
    <w:p w:rsidR="0056416E" w:rsidRPr="001F608D" w:rsidRDefault="0056416E" w:rsidP="0056416E">
      <w:pPr>
        <w:pStyle w:val="ListParagraph"/>
        <w:numPr>
          <w:ilvl w:val="0"/>
          <w:numId w:val="2"/>
        </w:numPr>
        <w:spacing w:after="0" w:line="390" w:lineRule="atLeast"/>
        <w:textAlignment w:val="baseline"/>
        <w:rPr>
          <w:rFonts w:ascii="Helvetica" w:eastAsia="Times New Roman" w:hAnsi="Helvetica" w:cs="Helvetica"/>
          <w:color w:val="686868"/>
          <w:sz w:val="32"/>
          <w:szCs w:val="32"/>
        </w:rPr>
      </w:pPr>
      <w:r w:rsidRPr="001F608D">
        <w:rPr>
          <w:rFonts w:ascii="Helvetica" w:eastAsia="Times New Roman" w:hAnsi="Helvetica" w:cs="Helvetica"/>
          <w:color w:val="686868"/>
          <w:sz w:val="32"/>
          <w:szCs w:val="32"/>
          <w:bdr w:val="none" w:sz="0" w:space="0" w:color="auto" w:frame="1"/>
        </w:rPr>
        <w:t>A warning symbol consisting of an equilateral triangle with a black outline present on the label.</w:t>
      </w:r>
    </w:p>
    <w:p w:rsidR="0056416E" w:rsidRPr="001F608D" w:rsidRDefault="0056416E" w:rsidP="0056416E">
      <w:pPr>
        <w:pStyle w:val="ListParagraph"/>
        <w:numPr>
          <w:ilvl w:val="0"/>
          <w:numId w:val="2"/>
        </w:numPr>
        <w:spacing w:after="0" w:line="390" w:lineRule="atLeast"/>
        <w:textAlignment w:val="baseline"/>
        <w:rPr>
          <w:rFonts w:ascii="Helvetica" w:eastAsia="Times New Roman" w:hAnsi="Helvetica" w:cs="Helvetica"/>
          <w:color w:val="686868"/>
          <w:sz w:val="32"/>
          <w:szCs w:val="32"/>
        </w:rPr>
      </w:pPr>
      <w:r w:rsidRPr="001F608D">
        <w:rPr>
          <w:rFonts w:ascii="Helvetica" w:eastAsia="Times New Roman" w:hAnsi="Helvetica" w:cs="Helvetica"/>
          <w:color w:val="686868"/>
          <w:sz w:val="32"/>
          <w:szCs w:val="32"/>
          <w:bdr w:val="none" w:sz="0" w:space="0" w:color="auto" w:frame="1"/>
        </w:rPr>
        <w:t>A link to the Prop 65 website where the consumer can learn more about the warning.</w:t>
      </w:r>
    </w:p>
    <w:p w:rsidR="00275F97" w:rsidRPr="00275F97" w:rsidRDefault="0056416E" w:rsidP="00275F97">
      <w:pPr>
        <w:pStyle w:val="ListParagraph"/>
        <w:numPr>
          <w:ilvl w:val="0"/>
          <w:numId w:val="2"/>
        </w:numPr>
        <w:spacing w:after="0" w:line="390" w:lineRule="atLeast"/>
        <w:textAlignment w:val="baseline"/>
        <w:rPr>
          <w:rFonts w:ascii="Helvetica" w:eastAsia="Times New Roman" w:hAnsi="Helvetica" w:cs="Helvetica"/>
          <w:color w:val="686868"/>
          <w:sz w:val="32"/>
          <w:szCs w:val="32"/>
        </w:rPr>
      </w:pPr>
      <w:r w:rsidRPr="001F608D">
        <w:rPr>
          <w:rFonts w:ascii="Helvetica" w:eastAsia="Times New Roman" w:hAnsi="Helvetica" w:cs="Helvetica"/>
          <w:color w:val="686868"/>
          <w:sz w:val="32"/>
          <w:szCs w:val="32"/>
          <w:bdr w:val="none" w:sz="0" w:space="0" w:color="auto" w:frame="1"/>
        </w:rPr>
        <w:t>The word “WARNING,” in all capital letters.</w:t>
      </w:r>
    </w:p>
    <w:p w:rsidR="001F608D" w:rsidRPr="001F608D" w:rsidRDefault="001F608D" w:rsidP="001F608D">
      <w:pPr>
        <w:spacing w:after="0" w:line="390" w:lineRule="atLeast"/>
        <w:textAlignment w:val="baseline"/>
        <w:rPr>
          <w:rFonts w:ascii="Helvetica" w:eastAsia="Times New Roman" w:hAnsi="Helvetica" w:cs="Helvetica"/>
          <w:color w:val="686868"/>
          <w:sz w:val="32"/>
          <w:szCs w:val="32"/>
        </w:rPr>
      </w:pPr>
    </w:p>
    <w:p w:rsidR="0056416E" w:rsidRPr="0056416E" w:rsidRDefault="0056416E" w:rsidP="00275F97">
      <w:pPr>
        <w:spacing w:after="0" w:line="390" w:lineRule="atLeast"/>
        <w:jc w:val="center"/>
        <w:textAlignment w:val="baseline"/>
        <w:rPr>
          <w:rFonts w:ascii="Helvetica" w:eastAsia="Times New Roman" w:hAnsi="Helvetica" w:cs="Helvetica"/>
          <w:color w:val="686868"/>
          <w:sz w:val="21"/>
          <w:szCs w:val="21"/>
        </w:rPr>
      </w:pPr>
    </w:p>
    <w:p w:rsidR="0056416E" w:rsidRDefault="0056416E"/>
    <w:sectPr w:rsidR="005641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D6B" w:rsidRDefault="00E85D6B" w:rsidP="00275F97">
      <w:pPr>
        <w:spacing w:after="0" w:line="240" w:lineRule="auto"/>
      </w:pPr>
      <w:r>
        <w:separator/>
      </w:r>
    </w:p>
  </w:endnote>
  <w:endnote w:type="continuationSeparator" w:id="0">
    <w:p w:rsidR="00E85D6B" w:rsidRDefault="00E85D6B" w:rsidP="0027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97" w:rsidRDefault="00275F97">
    <w:pPr>
      <w:pStyle w:val="Footer"/>
    </w:pPr>
    <w:r>
      <w:rPr>
        <w:noProof/>
      </w:rPr>
      <w:drawing>
        <wp:inline distT="0" distB="0" distL="0" distR="0">
          <wp:extent cx="594360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mons bann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572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D6B" w:rsidRDefault="00E85D6B" w:rsidP="00275F97">
      <w:pPr>
        <w:spacing w:after="0" w:line="240" w:lineRule="auto"/>
      </w:pPr>
      <w:r>
        <w:separator/>
      </w:r>
    </w:p>
  </w:footnote>
  <w:footnote w:type="continuationSeparator" w:id="0">
    <w:p w:rsidR="00E85D6B" w:rsidRDefault="00E85D6B" w:rsidP="00275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45A09"/>
    <w:multiLevelType w:val="multilevel"/>
    <w:tmpl w:val="CD12A54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7E265AAA"/>
    <w:multiLevelType w:val="hybridMultilevel"/>
    <w:tmpl w:val="58C0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6E"/>
    <w:rsid w:val="001F608D"/>
    <w:rsid w:val="00275F97"/>
    <w:rsid w:val="00284C5D"/>
    <w:rsid w:val="0056416E"/>
    <w:rsid w:val="00634243"/>
    <w:rsid w:val="00712AE1"/>
    <w:rsid w:val="00E8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F57193-85AA-46FC-B824-942BFCAE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416E"/>
    <w:rPr>
      <w:color w:val="0000FF"/>
      <w:u w:val="single"/>
    </w:rPr>
  </w:style>
  <w:style w:type="paragraph" w:styleId="ListParagraph">
    <w:name w:val="List Paragraph"/>
    <w:basedOn w:val="Normal"/>
    <w:uiPriority w:val="34"/>
    <w:qFormat/>
    <w:rsid w:val="0056416E"/>
    <w:pPr>
      <w:ind w:left="720"/>
      <w:contextualSpacing/>
    </w:pPr>
  </w:style>
  <w:style w:type="paragraph" w:styleId="BalloonText">
    <w:name w:val="Balloon Text"/>
    <w:basedOn w:val="Normal"/>
    <w:link w:val="BalloonTextChar"/>
    <w:uiPriority w:val="99"/>
    <w:semiHidden/>
    <w:unhideWhenUsed/>
    <w:rsid w:val="00564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16E"/>
    <w:rPr>
      <w:rFonts w:ascii="Segoe UI" w:hAnsi="Segoe UI" w:cs="Segoe UI"/>
      <w:sz w:val="18"/>
      <w:szCs w:val="18"/>
    </w:rPr>
  </w:style>
  <w:style w:type="paragraph" w:styleId="Header">
    <w:name w:val="header"/>
    <w:basedOn w:val="Normal"/>
    <w:link w:val="HeaderChar"/>
    <w:uiPriority w:val="99"/>
    <w:unhideWhenUsed/>
    <w:rsid w:val="00275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F97"/>
  </w:style>
  <w:style w:type="paragraph" w:styleId="Footer">
    <w:name w:val="footer"/>
    <w:basedOn w:val="Normal"/>
    <w:link w:val="FooterChar"/>
    <w:uiPriority w:val="99"/>
    <w:unhideWhenUsed/>
    <w:rsid w:val="00275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12668">
      <w:bodyDiv w:val="1"/>
      <w:marLeft w:val="0"/>
      <w:marRight w:val="0"/>
      <w:marTop w:val="0"/>
      <w:marBottom w:val="0"/>
      <w:divBdr>
        <w:top w:val="none" w:sz="0" w:space="0" w:color="auto"/>
        <w:left w:val="none" w:sz="0" w:space="0" w:color="auto"/>
        <w:bottom w:val="none" w:sz="0" w:space="0" w:color="auto"/>
        <w:right w:val="none" w:sz="0" w:space="0" w:color="auto"/>
      </w:divBdr>
      <w:divsChild>
        <w:div w:id="1450707799">
          <w:marLeft w:val="0"/>
          <w:marRight w:val="0"/>
          <w:marTop w:val="0"/>
          <w:marBottom w:val="328"/>
          <w:divBdr>
            <w:top w:val="none" w:sz="0" w:space="0" w:color="auto"/>
            <w:left w:val="none" w:sz="0" w:space="0" w:color="auto"/>
            <w:bottom w:val="none" w:sz="0" w:space="0" w:color="auto"/>
            <w:right w:val="none" w:sz="0" w:space="0" w:color="auto"/>
          </w:divBdr>
          <w:divsChild>
            <w:div w:id="11899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III</dc:creator>
  <cp:keywords/>
  <dc:description/>
  <cp:lastModifiedBy>Robert III</cp:lastModifiedBy>
  <cp:revision>2</cp:revision>
  <cp:lastPrinted>2018-04-10T13:39:00Z</cp:lastPrinted>
  <dcterms:created xsi:type="dcterms:W3CDTF">2018-04-10T13:53:00Z</dcterms:created>
  <dcterms:modified xsi:type="dcterms:W3CDTF">2018-04-10T13:53:00Z</dcterms:modified>
</cp:coreProperties>
</file>